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4F" w:rsidRDefault="0068344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Consultations or Lectures</w:t>
      </w:r>
    </w:p>
    <w:p w:rsidR="0068344E" w:rsidRDefault="0068344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Incidental Employment for J-1 Scholars</w:t>
      </w:r>
    </w:p>
    <w:p w:rsidR="0068344E" w:rsidRDefault="006834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Professors and research scholars may only participate in occasional short-term consultations and lectures for pay or remuneration with the prior written approval of your J-1 Responsible Officer.</w:t>
      </w:r>
    </w:p>
    <w:p w:rsidR="0068344E" w:rsidRDefault="0068344E">
      <w:pPr>
        <w:rPr>
          <w:rFonts w:ascii="Verdana" w:hAnsi="Verdana"/>
          <w:sz w:val="20"/>
          <w:szCs w:val="20"/>
        </w:rPr>
      </w:pPr>
    </w:p>
    <w:p w:rsidR="0068344E" w:rsidRDefault="0068344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Criteria for Authorizing Short-Term Consultations or Lectures</w:t>
      </w:r>
    </w:p>
    <w:p w:rsidR="0068344E" w:rsidRDefault="006834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ensure that these activities do not interfere with, and are in keeping with the activities of the Exchange Visitor’s Program, they must:</w:t>
      </w:r>
    </w:p>
    <w:p w:rsidR="0068344E" w:rsidRDefault="0068344E" w:rsidP="0068344E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Directly relate to the objectives of your Exchange Visitor’s Program;</w:t>
      </w:r>
    </w:p>
    <w:p w:rsidR="0068344E" w:rsidRDefault="0068344E" w:rsidP="0068344E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 incidental to the exchange visitor’s primary program activities; and</w:t>
      </w:r>
    </w:p>
    <w:p w:rsidR="0068344E" w:rsidRDefault="0068344E" w:rsidP="0068344E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Not delay the completion date of your Exchange Visitor Program;</w:t>
      </w:r>
    </w:p>
    <w:p w:rsidR="0068344E" w:rsidRDefault="0068344E" w:rsidP="0068344E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Obtain an Offer Letter from the prospective employer describing the terms and conditions of the proposed employment, including the duration, number of hours, field or subject, amount of compensation, and a description of the activity for which you are being hired;</w:t>
      </w:r>
    </w:p>
    <w:p w:rsidR="0068344E" w:rsidRDefault="0068344E" w:rsidP="0068344E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Receive a letter from your department head or supervisor that recommends the activity and explains how it is directly related to your principal activity and how it will enhance </w:t>
      </w:r>
      <w:proofErr w:type="spellStart"/>
      <w:r>
        <w:rPr>
          <w:rFonts w:ascii="Verdana" w:hAnsi="Verdana"/>
          <w:sz w:val="20"/>
          <w:szCs w:val="20"/>
        </w:rPr>
        <w:t>yoru</w:t>
      </w:r>
      <w:proofErr w:type="spellEnd"/>
      <w:r>
        <w:rPr>
          <w:rFonts w:ascii="Verdana" w:hAnsi="Verdana"/>
          <w:sz w:val="20"/>
          <w:szCs w:val="20"/>
        </w:rPr>
        <w:t xml:space="preserve"> Exchange Visitor Program</w:t>
      </w:r>
    </w:p>
    <w:p w:rsidR="0068344E" w:rsidRDefault="0068344E" w:rsidP="0068344E">
      <w:pPr>
        <w:rPr>
          <w:rFonts w:ascii="Verdana" w:hAnsi="Verdana"/>
          <w:sz w:val="20"/>
          <w:szCs w:val="20"/>
        </w:rPr>
      </w:pPr>
    </w:p>
    <w:p w:rsidR="0068344E" w:rsidRDefault="0068344E" w:rsidP="0068344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Authorization to Work</w:t>
      </w:r>
    </w:p>
    <w:p w:rsidR="0068344E" w:rsidRDefault="006834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Your J-1 Responsible Officer will issue a Work Authorization Letter to engage in the incidental employment activity. You should provide a copy of this letter to your employer and keep the original for your record.</w:t>
      </w:r>
    </w:p>
    <w:p w:rsidR="0068344E" w:rsidRPr="0068344E" w:rsidRDefault="006834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Note: As a J-1 scholar your options for incidental employment are limited. Please note that employment without authorization will jeopardize your Exchange Visitor Program status. Consult your J-1 Responsible Officer, whose written approval is necessary before you engage in any incidental employment activity.</w:t>
      </w:r>
      <w:bookmarkStart w:id="0" w:name="_GoBack"/>
      <w:bookmarkEnd w:id="0"/>
    </w:p>
    <w:p w:rsidR="0068344E" w:rsidRPr="0068344E" w:rsidRDefault="0068344E">
      <w:pPr>
        <w:rPr>
          <w:rFonts w:ascii="Verdana" w:hAnsi="Verdana"/>
          <w:sz w:val="20"/>
          <w:szCs w:val="20"/>
        </w:rPr>
      </w:pPr>
    </w:p>
    <w:sectPr w:rsidR="0068344E" w:rsidRPr="0068344E" w:rsidSect="006834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60C"/>
    <w:multiLevelType w:val="hybridMultilevel"/>
    <w:tmpl w:val="37F2B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4E"/>
    <w:rsid w:val="0028514F"/>
    <w:rsid w:val="0068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Tennnessee State University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 Tennessee State University</dc:creator>
  <cp:lastModifiedBy>Middle Tennessee State University</cp:lastModifiedBy>
  <cp:revision>1</cp:revision>
  <dcterms:created xsi:type="dcterms:W3CDTF">2011-12-22T18:42:00Z</dcterms:created>
  <dcterms:modified xsi:type="dcterms:W3CDTF">2011-12-22T18:52:00Z</dcterms:modified>
</cp:coreProperties>
</file>